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38" w:rsidRDefault="00E823C4">
      <w:pPr>
        <w:pStyle w:val="Standard"/>
        <w:spacing w:line="240" w:lineRule="auto"/>
        <w:jc w:val="both"/>
      </w:pPr>
      <w:bookmarkStart w:id="0" w:name="_GoBack"/>
      <w:bookmarkEnd w:id="0"/>
      <w:r>
        <w:rPr>
          <w:rStyle w:val="StrongEmphasis"/>
          <w:rFonts w:ascii="Times New Roman" w:hAnsi="Times New Roman" w:cs="Tahoma"/>
          <w:color w:val="000000"/>
          <w:sz w:val="36"/>
          <w:szCs w:val="36"/>
          <w:lang w:eastAsia="es-ES"/>
        </w:rPr>
        <w:t>Turismo realiza un estudio que analiza la oferta de productos gastronómicos canarios en los hoteles y apartamentos de las Islas</w:t>
      </w:r>
    </w:p>
    <w:p w:rsidR="00C15638" w:rsidRDefault="00E823C4">
      <w:pPr>
        <w:pStyle w:val="Standard"/>
        <w:spacing w:line="240" w:lineRule="auto"/>
        <w:jc w:val="both"/>
      </w:pPr>
      <w:r>
        <w:rPr>
          <w:rStyle w:val="StrongEmphasis"/>
          <w:rFonts w:ascii="Times New Roman" w:hAnsi="Times New Roman" w:cs="Tahoma"/>
          <w:color w:val="000000"/>
          <w:sz w:val="28"/>
          <w:szCs w:val="28"/>
          <w:lang w:eastAsia="es-ES"/>
        </w:rPr>
        <w:t xml:space="preserve">El 89,4% de los establecimientos disponen de platos </w:t>
      </w:r>
      <w:r>
        <w:rPr>
          <w:rStyle w:val="StrongEmphasis"/>
          <w:rFonts w:ascii="Times New Roman" w:hAnsi="Times New Roman" w:cs="Tahoma"/>
          <w:color w:val="000000"/>
          <w:sz w:val="28"/>
          <w:szCs w:val="28"/>
          <w:lang w:eastAsia="es-ES"/>
        </w:rPr>
        <w:t>típicos canarios en la carta buffet y un 54% de los turistas se muestran muy interesados en los productos canarios</w:t>
      </w:r>
    </w:p>
    <w:p w:rsidR="00C15638" w:rsidRDefault="00E823C4">
      <w:pPr>
        <w:pStyle w:val="Standard"/>
        <w:spacing w:line="240" w:lineRule="auto"/>
        <w:jc w:val="both"/>
      </w:pPr>
      <w:r>
        <w:rPr>
          <w:rStyle w:val="StrongEmphasis"/>
          <w:rFonts w:ascii="Times New Roman" w:hAnsi="Times New Roman" w:cs="Tahoma"/>
          <w:color w:val="000000"/>
          <w:sz w:val="28"/>
          <w:szCs w:val="28"/>
          <w:lang w:eastAsia="es-ES"/>
        </w:rPr>
        <w:t>La directora general de Promoción Turística, Candelaria Umpiérrez, señala que “la gastronomía, especialmente aquella vinculada a nuestra iden</w:t>
      </w:r>
      <w:r>
        <w:rPr>
          <w:rStyle w:val="StrongEmphasis"/>
          <w:rFonts w:ascii="Times New Roman" w:hAnsi="Times New Roman" w:cs="Tahoma"/>
          <w:color w:val="000000"/>
          <w:sz w:val="28"/>
          <w:szCs w:val="28"/>
          <w:lang w:eastAsia="es-ES"/>
        </w:rPr>
        <w:t>tidad y sector primario, constituye una gran oportunidad para diferenciarnos de otros destinos competidores”</w:t>
      </w:r>
    </w:p>
    <w:p w:rsidR="00C15638" w:rsidRDefault="00E823C4">
      <w:pPr>
        <w:pStyle w:val="Standard"/>
        <w:spacing w:line="240" w:lineRule="auto"/>
        <w:jc w:val="both"/>
      </w:pPr>
      <w:r>
        <w:rPr>
          <w:rStyle w:val="StrongEmphasis"/>
          <w:rFonts w:ascii="Times New Roman" w:hAnsi="Times New Roman" w:cs="Tahoma"/>
          <w:b w:val="0"/>
          <w:bCs w:val="0"/>
          <w:color w:val="000000"/>
          <w:sz w:val="24"/>
          <w:szCs w:val="24"/>
          <w:lang w:eastAsia="es-ES"/>
        </w:rPr>
        <w:t>La Consejería de Turismo, Cultura y Deportes del Gobierno de Canarias, a través del Observatorio Turístico, ha elaborado un informe para analizar l</w:t>
      </w:r>
      <w:r>
        <w:rPr>
          <w:rStyle w:val="StrongEmphasis"/>
          <w:rFonts w:ascii="Times New Roman" w:hAnsi="Times New Roman" w:cs="Tahoma"/>
          <w:b w:val="0"/>
          <w:bCs w:val="0"/>
          <w:color w:val="000000"/>
          <w:sz w:val="24"/>
          <w:szCs w:val="24"/>
          <w:lang w:eastAsia="es-ES"/>
        </w:rPr>
        <w:t>a oferta de productos canarios en los establecimientos hoteleros y extrahoteleros de las Islas.</w:t>
      </w:r>
    </w:p>
    <w:p w:rsidR="00C15638" w:rsidRDefault="00E823C4">
      <w:pPr>
        <w:pStyle w:val="Standard"/>
        <w:spacing w:line="240" w:lineRule="auto"/>
        <w:jc w:val="both"/>
      </w:pPr>
      <w:r>
        <w:rPr>
          <w:rStyle w:val="StrongEmphasis"/>
          <w:rFonts w:ascii="Times New Roman" w:hAnsi="Times New Roman" w:cs="Tahoma"/>
          <w:b w:val="0"/>
          <w:bCs w:val="0"/>
          <w:color w:val="000000"/>
          <w:sz w:val="24"/>
          <w:szCs w:val="24"/>
          <w:lang w:eastAsia="es-ES"/>
        </w:rPr>
        <w:t>El estudio, denominado “Hábitos de Compra de Productos de Alimentación y Bebida en el sector hotelero y extrahotelero de Canarias”, invitó a participar a 596 es</w:t>
      </w:r>
      <w:r>
        <w:rPr>
          <w:rStyle w:val="StrongEmphasis"/>
          <w:rFonts w:ascii="Times New Roman" w:hAnsi="Times New Roman" w:cs="Tahoma"/>
          <w:b w:val="0"/>
          <w:bCs w:val="0"/>
          <w:color w:val="000000"/>
          <w:sz w:val="24"/>
          <w:szCs w:val="24"/>
          <w:lang w:eastAsia="es-ES"/>
        </w:rPr>
        <w:t>tablecimientos de todas las Islas, de los que 403 fueron hoteles y 193 establecimientos extrahoteleros. Una de las conclusiones principales determina que el 89,4% de los encuestados disponen de platos típicos canarios en la carta o buffet, incluso un 46,5%</w:t>
      </w:r>
      <w:r>
        <w:rPr>
          <w:rStyle w:val="StrongEmphasis"/>
          <w:rFonts w:ascii="Times New Roman" w:hAnsi="Times New Roman" w:cs="Tahoma"/>
          <w:b w:val="0"/>
          <w:bCs w:val="0"/>
          <w:color w:val="000000"/>
          <w:sz w:val="24"/>
          <w:szCs w:val="24"/>
          <w:lang w:eastAsia="es-ES"/>
        </w:rPr>
        <w:t xml:space="preserve"> señala que existe un área del buffet dedicada a productos canarios.</w:t>
      </w:r>
    </w:p>
    <w:p w:rsidR="00C15638" w:rsidRDefault="00E823C4">
      <w:pPr>
        <w:pStyle w:val="Standard"/>
        <w:spacing w:line="240" w:lineRule="auto"/>
        <w:jc w:val="both"/>
      </w:pPr>
      <w:r>
        <w:rPr>
          <w:rStyle w:val="StrongEmphasis"/>
          <w:rFonts w:ascii="Times New Roman" w:hAnsi="Times New Roman" w:cs="Tahoma"/>
          <w:b w:val="0"/>
          <w:bCs w:val="0"/>
          <w:color w:val="000000"/>
          <w:sz w:val="24"/>
          <w:szCs w:val="24"/>
          <w:lang w:eastAsia="es-ES"/>
        </w:rPr>
        <w:lastRenderedPageBreak/>
        <w:t xml:space="preserve">Además, un 77,7% disponen de chefs con formación en cocina canaria y un 69,2% indica que existe una jornada semanal dedicada a la cocina canaria. Un 36,1% de ellos disponen incluso de un </w:t>
      </w:r>
      <w:r>
        <w:rPr>
          <w:rStyle w:val="StrongEmphasis"/>
          <w:rFonts w:ascii="Times New Roman" w:hAnsi="Times New Roman" w:cs="Tahoma"/>
          <w:b w:val="0"/>
          <w:bCs w:val="0"/>
          <w:color w:val="000000"/>
          <w:sz w:val="24"/>
          <w:szCs w:val="24"/>
          <w:lang w:eastAsia="es-ES"/>
        </w:rPr>
        <w:t>restaurante especializado en cocina canaria.</w:t>
      </w:r>
    </w:p>
    <w:p w:rsidR="00C15638" w:rsidRDefault="00E823C4">
      <w:pPr>
        <w:pStyle w:val="Standard"/>
        <w:spacing w:line="240" w:lineRule="auto"/>
        <w:jc w:val="both"/>
      </w:pPr>
      <w:r>
        <w:rPr>
          <w:rStyle w:val="StrongEmphasis"/>
          <w:rFonts w:ascii="Times New Roman" w:hAnsi="Times New Roman" w:cs="Tahoma"/>
          <w:b w:val="0"/>
          <w:bCs w:val="0"/>
          <w:color w:val="000000"/>
          <w:sz w:val="24"/>
          <w:szCs w:val="24"/>
          <w:lang w:eastAsia="es-ES"/>
        </w:rPr>
        <w:t xml:space="preserve">La directora general de Ordenación y Promoción Turística del Gobierno de Canarias, Candelaria Umpiérrez </w:t>
      </w:r>
      <w:r>
        <w:rPr>
          <w:rStyle w:val="StrongEmphasis"/>
          <w:rFonts w:ascii="Times New Roman" w:hAnsi="Times New Roman" w:cs="Helvetica"/>
          <w:b w:val="0"/>
          <w:sz w:val="24"/>
          <w:szCs w:val="24"/>
          <w:lang w:eastAsia="es-ES"/>
        </w:rPr>
        <w:t>destacó que “con 13.125.368 de turistas recibidos en 2015, con una estancia media de 9,46 noches, tenemos u</w:t>
      </w:r>
      <w:r>
        <w:rPr>
          <w:rStyle w:val="StrongEmphasis"/>
          <w:rFonts w:ascii="Times New Roman" w:hAnsi="Times New Roman" w:cs="Helvetica"/>
          <w:b w:val="0"/>
          <w:sz w:val="24"/>
          <w:szCs w:val="24"/>
          <w:lang w:eastAsia="es-ES"/>
        </w:rPr>
        <w:t>na ecuación que se traduce en 124 millones de desayunos y 124 millones de almuerzos y cenas”. “Se trata de una oportunidad única de dar a conocer nuestra gastronomía y el Gobierno de Canarias es consciente de ello, dedicando especial atención al sector pri</w:t>
      </w:r>
      <w:r>
        <w:rPr>
          <w:rStyle w:val="StrongEmphasis"/>
          <w:rFonts w:ascii="Times New Roman" w:hAnsi="Times New Roman" w:cs="Helvetica"/>
          <w:b w:val="0"/>
          <w:sz w:val="24"/>
          <w:szCs w:val="24"/>
          <w:lang w:eastAsia="es-ES"/>
        </w:rPr>
        <w:t>mario del Archipiélago, apoyando el desarrollo de nuestra gastronomía y las actividades agrarias, ganaderas y pesqueras”, indicó.</w:t>
      </w:r>
    </w:p>
    <w:p w:rsidR="00C15638" w:rsidRDefault="00E823C4">
      <w:pPr>
        <w:pStyle w:val="Standard"/>
        <w:spacing w:line="240" w:lineRule="auto"/>
        <w:jc w:val="both"/>
      </w:pPr>
      <w:r>
        <w:rPr>
          <w:rStyle w:val="StrongEmphasis"/>
          <w:rFonts w:ascii="Times New Roman" w:hAnsi="Times New Roman" w:cs="Tahoma"/>
          <w:b w:val="0"/>
          <w:bCs w:val="0"/>
          <w:color w:val="000000"/>
          <w:sz w:val="24"/>
          <w:szCs w:val="24"/>
          <w:lang w:eastAsia="es-ES"/>
        </w:rPr>
        <w:t>Candelaria Umpiérrez ha mostrado su satisfacción por el resultado de la encuesta, “ya  que indica que vamos por el buen camino</w:t>
      </w:r>
      <w:r>
        <w:rPr>
          <w:rStyle w:val="StrongEmphasis"/>
          <w:rFonts w:ascii="Times New Roman" w:hAnsi="Times New Roman" w:cs="Tahoma"/>
          <w:b w:val="0"/>
          <w:bCs w:val="0"/>
          <w:color w:val="000000"/>
          <w:sz w:val="24"/>
          <w:szCs w:val="24"/>
          <w:lang w:eastAsia="es-ES"/>
        </w:rPr>
        <w:t xml:space="preserve"> porque la gastronomía, especialmente aquella más vinculada a nuestra identidad y nuestro sector primario, constituye una gran oportunidad para diferenciarnos de otros destinos turísticos competidores y aportar valor a aquellos de nuestros visitantes, actu</w:t>
      </w:r>
      <w:r>
        <w:rPr>
          <w:rStyle w:val="StrongEmphasis"/>
          <w:rFonts w:ascii="Times New Roman" w:hAnsi="Times New Roman" w:cs="Tahoma"/>
          <w:b w:val="0"/>
          <w:bCs w:val="0"/>
          <w:color w:val="000000"/>
          <w:sz w:val="24"/>
          <w:szCs w:val="24"/>
          <w:lang w:eastAsia="es-ES"/>
        </w:rPr>
        <w:t xml:space="preserve">ales y futuros, que </w:t>
      </w:r>
      <w:r>
        <w:rPr>
          <w:rStyle w:val="StrongEmphasis"/>
          <w:rFonts w:ascii="Times New Roman" w:hAnsi="Times New Roman" w:cs="Helvetica"/>
          <w:b w:val="0"/>
          <w:color w:val="000000"/>
          <w:sz w:val="24"/>
          <w:szCs w:val="24"/>
          <w:lang w:eastAsia="es-ES"/>
        </w:rPr>
        <w:t>incorporan el conocimiento y disfrute de la buena gastronomía en sus expectativas de viaje, aunque no sea como motivación principal. No son todos, pero son muchos y cada día más”, señaló.</w:t>
      </w:r>
    </w:p>
    <w:p w:rsidR="00C15638" w:rsidRDefault="00E823C4">
      <w:pPr>
        <w:pStyle w:val="Textbody"/>
        <w:spacing w:after="200"/>
        <w:jc w:val="both"/>
      </w:pPr>
      <w:r>
        <w:rPr>
          <w:rStyle w:val="StrongEmphasis"/>
          <w:rFonts w:cs="Helvetica"/>
          <w:b w:val="0"/>
          <w:lang w:eastAsia="es-ES"/>
        </w:rPr>
        <w:t>En cuanto a los clientes de los establecimientos</w:t>
      </w:r>
      <w:r>
        <w:rPr>
          <w:rStyle w:val="StrongEmphasis"/>
          <w:rFonts w:cs="Helvetica"/>
          <w:b w:val="0"/>
          <w:lang w:eastAsia="es-ES"/>
        </w:rPr>
        <w:t xml:space="preserve"> el estudio especifica que un 54% de ellos se muestran bastante o muy interesados en los productos canarios. Los hoteleros encuestados consideran que los platos y productos típicos canarios tienen una buena (61,5%) o muy buena (30,2%) acogida entre sus cli</w:t>
      </w:r>
      <w:r>
        <w:rPr>
          <w:rStyle w:val="StrongEmphasis"/>
          <w:rFonts w:cs="Helvetica"/>
          <w:b w:val="0"/>
          <w:lang w:eastAsia="es-ES"/>
        </w:rPr>
        <w:t>entes y un 62,5% de ellos perciben que existe un mayor interés por la gastronomía local. También se observa un progresivo interés entre los turistas que nos visitan por los productos ecológicos.</w:t>
      </w:r>
    </w:p>
    <w:p w:rsidR="00C15638" w:rsidRDefault="00E823C4">
      <w:pPr>
        <w:pStyle w:val="Textbody"/>
        <w:spacing w:after="200"/>
        <w:jc w:val="both"/>
      </w:pPr>
      <w:r>
        <w:rPr>
          <w:rStyle w:val="StrongEmphasis"/>
          <w:rFonts w:cs="Helvetica"/>
          <w:b w:val="0"/>
          <w:lang w:eastAsia="es-ES"/>
        </w:rPr>
        <w:t>Según el estudio, el interés hacia la gastronomía local es ma</w:t>
      </w:r>
      <w:r>
        <w:rPr>
          <w:rStyle w:val="StrongEmphasis"/>
          <w:rFonts w:cs="Helvetica"/>
          <w:b w:val="0"/>
          <w:lang w:eastAsia="es-ES"/>
        </w:rPr>
        <w:t>yor entre los turistas que visitan las islas de La Gomera o El Hierro. El plato típico canario estrella son las papas arrugadas con mojo, presente en el 100% de los establecimientos participantes en la encuesta. Le sigue la pata asada (un 80,9%) y los pota</w:t>
      </w:r>
      <w:r>
        <w:rPr>
          <w:rStyle w:val="StrongEmphasis"/>
          <w:rFonts w:cs="Helvetica"/>
          <w:b w:val="0"/>
          <w:lang w:eastAsia="es-ES"/>
        </w:rPr>
        <w:t>jes (un 79,8%).</w:t>
      </w:r>
    </w:p>
    <w:p w:rsidR="00C15638" w:rsidRDefault="00E823C4">
      <w:pPr>
        <w:pStyle w:val="Textbody"/>
        <w:spacing w:after="200"/>
        <w:jc w:val="both"/>
      </w:pPr>
      <w:r>
        <w:rPr>
          <w:rStyle w:val="StrongEmphasis"/>
          <w:rFonts w:cs="Helvetica"/>
          <w:b w:val="0"/>
          <w:lang w:eastAsia="es-ES"/>
        </w:rPr>
        <w:t>El producto local más ofertado es el plátano (94,2%), el gofio (92,4%), el tomate (85,7%) y la papa (78,4%).  Los aspectos peor valorados son el precio y la variedad.</w:t>
      </w:r>
    </w:p>
    <w:p w:rsidR="00C15638" w:rsidRDefault="00E823C4">
      <w:pPr>
        <w:pStyle w:val="Textbody"/>
        <w:spacing w:after="200"/>
        <w:jc w:val="both"/>
      </w:pPr>
      <w:r>
        <w:rPr>
          <w:rStyle w:val="StrongEmphasis"/>
          <w:rFonts w:cs="Helvetica"/>
          <w:b w:val="0"/>
          <w:lang w:eastAsia="es-ES"/>
        </w:rPr>
        <w:t>El Plan Estratégico de Promoción Turística de Canarias 2012-2016 establec</w:t>
      </w:r>
      <w:r>
        <w:rPr>
          <w:rStyle w:val="StrongEmphasis"/>
          <w:rFonts w:cs="Helvetica"/>
          <w:b w:val="0"/>
          <w:lang w:eastAsia="es-ES"/>
        </w:rPr>
        <w:t>e entre una de sus actuaciones principales realizar una dinamización, mejora y especialización del producto potenciando que la oferta incorpore elementos de identidad local y la imagen del destino potencie el turismo gastronómico y el enoturismo.</w:t>
      </w:r>
    </w:p>
    <w:p w:rsidR="00C15638" w:rsidRDefault="00E823C4">
      <w:pPr>
        <w:pStyle w:val="Textbody"/>
        <w:spacing w:after="200"/>
        <w:jc w:val="both"/>
      </w:pPr>
      <w:r>
        <w:rPr>
          <w:rStyle w:val="StrongEmphasis"/>
          <w:rFonts w:cs="Helvetica"/>
          <w:b w:val="0"/>
          <w:lang w:eastAsia="es-ES"/>
        </w:rPr>
        <w:t>La direct</w:t>
      </w:r>
      <w:r>
        <w:rPr>
          <w:rStyle w:val="StrongEmphasis"/>
          <w:rFonts w:cs="Helvetica"/>
          <w:b w:val="0"/>
          <w:lang w:eastAsia="es-ES"/>
        </w:rPr>
        <w:t>ora general de Ordenación y Promoción Turística concluye que “los resultados del estudio muestran claramente que los turistas que visitan Canarias muestran cada vez un mayor interés por la cultura y costumbres locales y los productos canarios presentan una</w:t>
      </w:r>
      <w:r>
        <w:rPr>
          <w:rStyle w:val="StrongEmphasis"/>
          <w:rFonts w:cs="Helvetica"/>
          <w:b w:val="0"/>
          <w:lang w:eastAsia="es-ES"/>
        </w:rPr>
        <w:t xml:space="preserve"> elevada cuota de penetración en los hoteles y apartamentos de las Islas”. “Sin embargo”, continúa, “es importante el uso de estrategias de promoción y marketing para acercar a los turistas a nuestra cultura y costumbres a través de nuestros alimentos y be</w:t>
      </w:r>
      <w:r>
        <w:rPr>
          <w:rStyle w:val="StrongEmphasis"/>
          <w:rFonts w:cs="Helvetica"/>
          <w:b w:val="0"/>
          <w:lang w:eastAsia="es-ES"/>
        </w:rPr>
        <w:t>bidas, como rutas, ferias, visitas, muestras etc”.</w:t>
      </w:r>
    </w:p>
    <w:p w:rsidR="00C15638" w:rsidRDefault="00E823C4">
      <w:pPr>
        <w:pStyle w:val="Textbody"/>
        <w:spacing w:after="200"/>
        <w:jc w:val="both"/>
      </w:pPr>
      <w:r>
        <w:rPr>
          <w:rStyle w:val="StrongEmphasis"/>
          <w:rFonts w:cs="Helvetica"/>
          <w:b w:val="0"/>
          <w:lang w:eastAsia="es-ES"/>
        </w:rPr>
        <w:lastRenderedPageBreak/>
        <w:t>Saludos,</w:t>
      </w:r>
    </w:p>
    <w:p w:rsidR="00C15638" w:rsidRDefault="00E823C4">
      <w:pPr>
        <w:pStyle w:val="Textbody"/>
        <w:spacing w:after="200"/>
        <w:jc w:val="both"/>
      </w:pPr>
      <w:r>
        <w:rPr>
          <w:rStyle w:val="StrongEmphasis"/>
          <w:rFonts w:cs="Helvetica"/>
          <w:b w:val="0"/>
          <w:lang w:eastAsia="es-ES"/>
        </w:rPr>
        <w:t>Gabinete de Comunicación</w:t>
      </w:r>
    </w:p>
    <w:p w:rsidR="00C15638" w:rsidRDefault="00C15638">
      <w:pPr>
        <w:pStyle w:val="Standard"/>
        <w:spacing w:line="240" w:lineRule="auto"/>
        <w:jc w:val="both"/>
      </w:pPr>
    </w:p>
    <w:p w:rsidR="00C15638" w:rsidRDefault="00C15638">
      <w:pPr>
        <w:pStyle w:val="Standard"/>
        <w:spacing w:line="240" w:lineRule="auto"/>
        <w:jc w:val="both"/>
      </w:pPr>
    </w:p>
    <w:p w:rsidR="00C15638" w:rsidRDefault="00C15638">
      <w:pPr>
        <w:pStyle w:val="Standard"/>
        <w:spacing w:line="240" w:lineRule="auto"/>
        <w:jc w:val="both"/>
      </w:pPr>
    </w:p>
    <w:p w:rsidR="00C15638" w:rsidRDefault="00C15638">
      <w:pPr>
        <w:pStyle w:val="Standard"/>
        <w:spacing w:line="240" w:lineRule="auto"/>
        <w:jc w:val="both"/>
      </w:pPr>
    </w:p>
    <w:sectPr w:rsidR="00C15638">
      <w:footerReference w:type="default" r:id="rId8"/>
      <w:headerReference w:type="first" r:id="rId9"/>
      <w:footerReference w:type="first" r:id="rId10"/>
      <w:pgSz w:w="11906" w:h="16838"/>
      <w:pgMar w:top="1247" w:right="851" w:bottom="1871" w:left="226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23C4">
      <w:r>
        <w:separator/>
      </w:r>
    </w:p>
  </w:endnote>
  <w:endnote w:type="continuationSeparator" w:id="0">
    <w:p w:rsidR="00000000" w:rsidRDefault="00E8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2B6" w:rsidRDefault="00E823C4">
    <w:pPr>
      <w:pStyle w:val="Piedepgina"/>
      <w:rPr>
        <w:rFonts w:ascii="Arial" w:hAnsi="Arial" w:cs="Arial"/>
        <w:b/>
      </w:rPr>
    </w:pPr>
    <w:r>
      <w:rPr>
        <w:rFonts w:ascii="Arial" w:hAnsi="Arial" w:cs="Arial"/>
        <w:b/>
      </w:rPr>
      <w:t>Comunicación. Consejería de Turismo, Cultura y Deportes</w:t>
    </w:r>
  </w:p>
  <w:p w:rsidR="000A72B6" w:rsidRDefault="00E823C4">
    <w:pPr>
      <w:pStyle w:val="Piedepgina"/>
      <w:rPr>
        <w:rFonts w:ascii="Arial" w:hAnsi="Arial" w:cs="Arial"/>
      </w:rPr>
    </w:pPr>
    <w:r>
      <w:rPr>
        <w:rFonts w:ascii="Arial" w:hAnsi="Arial" w:cs="Arial"/>
      </w:rPr>
      <w:t>928 899395 / 928 899396</w:t>
    </w:r>
  </w:p>
  <w:p w:rsidR="000A72B6" w:rsidRDefault="00E823C4">
    <w:pPr>
      <w:pStyle w:val="Piedepgina"/>
      <w:rPr>
        <w:rFonts w:ascii="Arial" w:hAnsi="Arial" w:cs="Arial"/>
      </w:rPr>
    </w:pPr>
    <w:r>
      <w:rPr>
        <w:rFonts w:ascii="Arial" w:hAnsi="Arial" w:cs="Arial"/>
      </w:rPr>
      <w:t>comturismo.pg@gobiernodecanarias.org</w:t>
    </w:r>
  </w:p>
  <w:p w:rsidR="000A72B6" w:rsidRDefault="00E82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2B6" w:rsidRDefault="00E823C4">
    <w:pPr>
      <w:pStyle w:val="Piedepgina"/>
    </w:pPr>
    <w:r>
      <w:t xml:space="preserve">                              </w:t>
    </w:r>
  </w:p>
  <w:tbl>
    <w:tblPr>
      <w:tblW w:w="8927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048"/>
      <w:gridCol w:w="2879"/>
    </w:tblGrid>
    <w:tr w:rsidR="000A72B6">
      <w:tblPrEx>
        <w:tblCellMar>
          <w:top w:w="0" w:type="dxa"/>
          <w:bottom w:w="0" w:type="dxa"/>
        </w:tblCellMar>
      </w:tblPrEx>
      <w:trPr>
        <w:trHeight w:val="1356"/>
      </w:trPr>
      <w:tc>
        <w:tcPr>
          <w:tcW w:w="604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A72B6" w:rsidRDefault="00E823C4">
          <w:pPr>
            <w:pStyle w:val="Piedepgina"/>
            <w:snapToGrid w:val="0"/>
            <w:rPr>
              <w:rFonts w:ascii="Arial" w:hAnsi="Arial" w:cs="Arial"/>
              <w:b/>
            </w:rPr>
          </w:pPr>
        </w:p>
        <w:p w:rsidR="000A72B6" w:rsidRDefault="00E823C4">
          <w:pPr>
            <w:pStyle w:val="Piedepgina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Comunicación. Consejería de Turismo, Cultura y Deportes</w:t>
          </w:r>
        </w:p>
        <w:p w:rsidR="000A72B6" w:rsidRDefault="00E823C4">
          <w:pPr>
            <w:pStyle w:val="Piedepgina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928 899395/ 928 899396 comturismo.pg@gobiernodecanarias.org</w:t>
          </w:r>
        </w:p>
        <w:p w:rsidR="000A72B6" w:rsidRDefault="00E823C4">
          <w:pPr>
            <w:pStyle w:val="Standard"/>
            <w:tabs>
              <w:tab w:val="center" w:pos="4252"/>
              <w:tab w:val="right" w:pos="8504"/>
            </w:tabs>
            <w:rPr>
              <w:rFonts w:ascii="Arial" w:eastAsia="Times" w:hAnsi="Arial" w:cs="Arial"/>
            </w:rPr>
          </w:pPr>
        </w:p>
      </w:tc>
      <w:tc>
        <w:tcPr>
          <w:tcW w:w="287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A72B6" w:rsidRDefault="00E823C4">
          <w:pPr>
            <w:pStyle w:val="Piedepgina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677515" cy="677515"/>
                <wp:effectExtent l="0" t="0" r="8285" b="8285"/>
                <wp:docPr id="2" name="gráfico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515" cy="67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72B6" w:rsidRDefault="00E82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23C4">
      <w:r>
        <w:rPr>
          <w:color w:val="000000"/>
        </w:rPr>
        <w:separator/>
      </w:r>
    </w:p>
  </w:footnote>
  <w:footnote w:type="continuationSeparator" w:id="0">
    <w:p w:rsidR="00000000" w:rsidRDefault="00E82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2B6" w:rsidRDefault="00E823C4">
    <w:pPr>
      <w:pStyle w:val="Encabezado"/>
      <w:spacing w:after="120"/>
    </w:pPr>
    <w:r>
      <w:rPr>
        <w:rFonts w:ascii="Arial" w:hAnsi="Arial" w:cs="Arial"/>
      </w:rPr>
      <w:t xml:space="preserve"> 1 de abril de 2016</w:t>
    </w:r>
    <w:r>
      <w:rPr>
        <w:rFonts w:ascii="Arial" w:hAnsi="Arial" w:cs="Arial"/>
      </w:rPr>
      <w:pict w14:anchorId="133BE6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1" o:spid="_x0000_s1025" type="#_x0000_t75" style="position:absolute;margin-left:-.75pt;margin-top:9.55pt;width:439.8pt;height:93.8pt;z-index:251658240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Unknown" ShapeID="Objeto1" DrawAspect="Content" ObjectID="_1540740775" r:id="rId2"/>
      </w:pict>
    </w:r>
  </w:p>
  <w:p w:rsidR="000A72B6" w:rsidRDefault="00E823C4">
    <w:pPr>
      <w:pStyle w:val="Encabezado"/>
      <w:spacing w:after="120"/>
      <w:jc w:val="right"/>
    </w:pPr>
  </w:p>
  <w:p w:rsidR="000A72B6" w:rsidRDefault="00E823C4">
    <w:pPr>
      <w:pStyle w:val="Encabezado"/>
      <w:spacing w:after="120"/>
      <w:jc w:val="right"/>
    </w:pPr>
  </w:p>
  <w:p w:rsidR="000A72B6" w:rsidRDefault="00E823C4">
    <w:pPr>
      <w:pStyle w:val="Encabezado"/>
      <w:tabs>
        <w:tab w:val="left" w:pos="2739"/>
      </w:tabs>
      <w:spacing w:after="120"/>
    </w:pPr>
    <w:r>
      <w:tab/>
    </w:r>
    <w:r>
      <w:tab/>
    </w:r>
    <w:r>
      <w:tab/>
    </w:r>
  </w:p>
  <w:p w:rsidR="000A72B6" w:rsidRDefault="00E823C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47155</wp:posOffset>
          </wp:positionH>
          <wp:positionV relativeFrom="paragraph">
            <wp:posOffset>-61557</wp:posOffset>
          </wp:positionV>
          <wp:extent cx="1136160" cy="231836"/>
          <wp:effectExtent l="0" t="0" r="6840" b="0"/>
          <wp:wrapTopAndBottom/>
          <wp:docPr id="1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6160" cy="2318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0A72B6" w:rsidRDefault="00E823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464"/>
    <w:multiLevelType w:val="multilevel"/>
    <w:tmpl w:val="57B67A08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C4014E6"/>
    <w:multiLevelType w:val="multilevel"/>
    <w:tmpl w:val="DC10DC82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3EF6E85"/>
    <w:multiLevelType w:val="multilevel"/>
    <w:tmpl w:val="4808AB7A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1EC2218F"/>
    <w:multiLevelType w:val="multilevel"/>
    <w:tmpl w:val="41BE6308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57D313A1"/>
    <w:multiLevelType w:val="multilevel"/>
    <w:tmpl w:val="5BF07416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721D0A86"/>
    <w:multiLevelType w:val="multilevel"/>
    <w:tmpl w:val="B2980146"/>
    <w:styleLink w:val="WW8Num1"/>
    <w:lvl w:ilvl="0">
      <w:numFmt w:val="bullet"/>
      <w:lvlText w:val="-"/>
      <w:lvlJc w:val="left"/>
      <w:rPr>
        <w:rFonts w:ascii="Calibri" w:eastAsia="Times New Roman" w:hAnsi="Calibri" w:cs="Calibri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7D3108DC"/>
    <w:multiLevelType w:val="multilevel"/>
    <w:tmpl w:val="3462E998"/>
    <w:styleLink w:val="WW8Num5"/>
    <w:lvl w:ilvl="0">
      <w:numFmt w:val="bullet"/>
      <w:lvlText w:val=""/>
      <w:lvlJc w:val="left"/>
      <w:rPr>
        <w:rFonts w:ascii="Symbol" w:hAnsi="Symbol" w:cs="Symbol"/>
        <w:color w:val="FFC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5638"/>
    <w:rsid w:val="00C15638"/>
    <w:rsid w:val="00E8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" w:hAnsi="Times" w:cs="Times"/>
      <w:sz w:val="24"/>
      <w:szCs w:val="24"/>
    </w:r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NormalWeb">
    <w:name w:val="Normal (Web)"/>
    <w:basedOn w:val="Standard"/>
    <w:pPr>
      <w:spacing w:before="280" w:after="280"/>
    </w:pPr>
    <w:rPr>
      <w:rFonts w:ascii="Arial" w:hAnsi="Arial" w:cs="Arial"/>
      <w:color w:val="333399"/>
    </w:rPr>
  </w:style>
  <w:style w:type="paragraph" w:styleId="Prrafodelista">
    <w:name w:val="List Paragraph"/>
    <w:basedOn w:val="Standard"/>
    <w:pPr>
      <w:spacing w:after="0" w:line="240" w:lineRule="auto"/>
      <w:ind w:left="720"/>
      <w:jc w:val="both"/>
    </w:pPr>
    <w:rPr>
      <w:rFonts w:ascii="Arial" w:hAnsi="Arial" w:cs="Arial"/>
    </w:rPr>
  </w:style>
  <w:style w:type="paragraph" w:styleId="Sangranormal">
    <w:name w:val="Normal Indent"/>
    <w:basedOn w:val="Standard"/>
    <w:pPr>
      <w:spacing w:after="240" w:line="240" w:lineRule="auto"/>
      <w:ind w:left="720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msolistparagraph0">
    <w:name w:val="msolistparagraph"/>
    <w:basedOn w:val="Standard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osinformato1">
    <w:name w:val="Texto sin formato1"/>
    <w:basedOn w:val="Standard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MS Mincho" w:hAnsi="Calibri" w:cs="Calibri"/>
      <w:color w:val="000000"/>
      <w:lang w:bidi="ar-SA"/>
    </w:rPr>
  </w:style>
  <w:style w:type="paragraph" w:customStyle="1" w:styleId="c5">
    <w:name w:val="c5"/>
    <w:basedOn w:val="Standard"/>
    <w:pPr>
      <w:spacing w:before="100" w:after="100"/>
    </w:pPr>
    <w:rPr>
      <w:rFonts w:ascii="Times New Roman" w:hAnsi="Times New Roman" w:cs="Times New Roman"/>
    </w:rPr>
  </w:style>
  <w:style w:type="character" w:customStyle="1" w:styleId="WW8Num1z0">
    <w:name w:val="WW8Num1z0"/>
    <w:rPr>
      <w:rFonts w:ascii="Calibri" w:eastAsia="Times New Roman" w:hAnsi="Calibri" w:cs="Calibri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color w:val="FFC00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fasis1">
    <w:name w:val="Énfasis1"/>
    <w:rPr>
      <w:b/>
      <w:bCs/>
      <w:i w:val="0"/>
      <w:iCs w:val="0"/>
      <w:color w:val="000000"/>
    </w:rPr>
  </w:style>
  <w:style w:type="character" w:customStyle="1" w:styleId="st1">
    <w:name w:val="st1"/>
    <w:rPr>
      <w:b w:val="0"/>
      <w:bCs w:val="0"/>
      <w:color w:val="222222"/>
      <w:sz w:val="27"/>
      <w:szCs w:val="27"/>
    </w:rPr>
  </w:style>
  <w:style w:type="character" w:customStyle="1" w:styleId="StrongEmphasis">
    <w:name w:val="Strong Emphasis"/>
    <w:rPr>
      <w:b/>
      <w:bCs/>
    </w:rPr>
  </w:style>
  <w:style w:type="character" w:styleId="nfasis">
    <w:name w:val="Emphasis"/>
    <w:rPr>
      <w:i/>
      <w:iCs/>
    </w:rPr>
  </w:style>
  <w:style w:type="character" w:customStyle="1" w:styleId="apple-converted-space">
    <w:name w:val="apple-converted-space"/>
    <w:basedOn w:val="Fuentedeprrafopredeter"/>
  </w:style>
  <w:style w:type="character" w:customStyle="1" w:styleId="noticiatitulartexto">
    <w:name w:val="noticia_titular_texto"/>
    <w:basedOn w:val="Fuentedeprrafopredeter"/>
  </w:style>
  <w:style w:type="paragraph" w:styleId="Textodeglobo">
    <w:name w:val="Balloon Text"/>
    <w:basedOn w:val="Normal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4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Num5">
    <w:name w:val="WWNum5"/>
    <w:basedOn w:val="Sinlista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" w:hAnsi="Times" w:cs="Times"/>
      <w:sz w:val="24"/>
      <w:szCs w:val="24"/>
    </w:r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NormalWeb">
    <w:name w:val="Normal (Web)"/>
    <w:basedOn w:val="Standard"/>
    <w:pPr>
      <w:spacing w:before="280" w:after="280"/>
    </w:pPr>
    <w:rPr>
      <w:rFonts w:ascii="Arial" w:hAnsi="Arial" w:cs="Arial"/>
      <w:color w:val="333399"/>
    </w:rPr>
  </w:style>
  <w:style w:type="paragraph" w:styleId="Prrafodelista">
    <w:name w:val="List Paragraph"/>
    <w:basedOn w:val="Standard"/>
    <w:pPr>
      <w:spacing w:after="0" w:line="240" w:lineRule="auto"/>
      <w:ind w:left="720"/>
      <w:jc w:val="both"/>
    </w:pPr>
    <w:rPr>
      <w:rFonts w:ascii="Arial" w:hAnsi="Arial" w:cs="Arial"/>
    </w:rPr>
  </w:style>
  <w:style w:type="paragraph" w:styleId="Sangranormal">
    <w:name w:val="Normal Indent"/>
    <w:basedOn w:val="Standard"/>
    <w:pPr>
      <w:spacing w:after="240" w:line="240" w:lineRule="auto"/>
      <w:ind w:left="720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msolistparagraph0">
    <w:name w:val="msolistparagraph"/>
    <w:basedOn w:val="Standard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osinformato1">
    <w:name w:val="Texto sin formato1"/>
    <w:basedOn w:val="Standard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MS Mincho" w:hAnsi="Calibri" w:cs="Calibri"/>
      <w:color w:val="000000"/>
      <w:lang w:bidi="ar-SA"/>
    </w:rPr>
  </w:style>
  <w:style w:type="paragraph" w:customStyle="1" w:styleId="c5">
    <w:name w:val="c5"/>
    <w:basedOn w:val="Standard"/>
    <w:pPr>
      <w:spacing w:before="100" w:after="100"/>
    </w:pPr>
    <w:rPr>
      <w:rFonts w:ascii="Times New Roman" w:hAnsi="Times New Roman" w:cs="Times New Roman"/>
    </w:rPr>
  </w:style>
  <w:style w:type="character" w:customStyle="1" w:styleId="WW8Num1z0">
    <w:name w:val="WW8Num1z0"/>
    <w:rPr>
      <w:rFonts w:ascii="Calibri" w:eastAsia="Times New Roman" w:hAnsi="Calibri" w:cs="Calibri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color w:val="FFC00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fasis1">
    <w:name w:val="Énfasis1"/>
    <w:rPr>
      <w:b/>
      <w:bCs/>
      <w:i w:val="0"/>
      <w:iCs w:val="0"/>
      <w:color w:val="000000"/>
    </w:rPr>
  </w:style>
  <w:style w:type="character" w:customStyle="1" w:styleId="st1">
    <w:name w:val="st1"/>
    <w:rPr>
      <w:b w:val="0"/>
      <w:bCs w:val="0"/>
      <w:color w:val="222222"/>
      <w:sz w:val="27"/>
      <w:szCs w:val="27"/>
    </w:rPr>
  </w:style>
  <w:style w:type="character" w:customStyle="1" w:styleId="StrongEmphasis">
    <w:name w:val="Strong Emphasis"/>
    <w:rPr>
      <w:b/>
      <w:bCs/>
    </w:rPr>
  </w:style>
  <w:style w:type="character" w:styleId="nfasis">
    <w:name w:val="Emphasis"/>
    <w:rPr>
      <w:i/>
      <w:iCs/>
    </w:rPr>
  </w:style>
  <w:style w:type="character" w:customStyle="1" w:styleId="apple-converted-space">
    <w:name w:val="apple-converted-space"/>
    <w:basedOn w:val="Fuentedeprrafopredeter"/>
  </w:style>
  <w:style w:type="character" w:customStyle="1" w:styleId="noticiatitulartexto">
    <w:name w:val="noticia_titular_texto"/>
    <w:basedOn w:val="Fuentedeprrafopredeter"/>
  </w:style>
  <w:style w:type="paragraph" w:styleId="Textodeglobo">
    <w:name w:val="Balloon Text"/>
    <w:basedOn w:val="Normal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4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Num5">
    <w:name w:val="WWNum5"/>
    <w:basedOn w:val="Sinlist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lantilla%2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plantilla%201</Template>
  <TotalTime>1</TotalTime>
  <Pages>3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campaña de turismo interior llegará a más de un millón y medio de personas que viven en Canarias</vt:lpstr>
    </vt:vector>
  </TitlesOfParts>
  <Company>Hewlett-Packard Company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campaña de turismo interior llegará a más de un millón y medio de personas que viven en Canarias</dc:title>
  <dc:creator>Alberto Tapia</dc:creator>
  <cp:lastModifiedBy>anna.guasch</cp:lastModifiedBy>
  <cp:revision>2</cp:revision>
  <cp:lastPrinted>2015-10-20T12:13:00Z</cp:lastPrinted>
  <dcterms:created xsi:type="dcterms:W3CDTF">2016-11-15T17:47:00Z</dcterms:created>
  <dcterms:modified xsi:type="dcterms:W3CDTF">2016-11-15T17:47:00Z</dcterms:modified>
</cp:coreProperties>
</file>